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a-Siatka"/>
        <w:tblpPr w:leftFromText="141" w:rightFromText="141" w:vertAnchor="text" w:horzAnchor="margin" w:tblpY="6"/>
        <w:tblW w:w="0" w:type="auto"/>
        <w:tblLook w:val="04A0" w:firstRow="1" w:lastRow="0" w:firstColumn="1" w:lastColumn="0" w:noHBand="0" w:noVBand="1"/>
      </w:tblPr>
      <w:tblGrid>
        <w:gridCol w:w="6997"/>
        <w:gridCol w:w="6997"/>
      </w:tblGrid>
      <w:tr w:rsidR="00837695" w:rsidTr="003C2FDA">
        <w:trPr>
          <w:trHeight w:val="9917"/>
        </w:trPr>
        <w:tc>
          <w:tcPr>
            <w:tcW w:w="6997" w:type="dxa"/>
          </w:tcPr>
          <w:p w:rsidR="003C2FDA" w:rsidRDefault="003C2FDA" w:rsidP="0049326A">
            <w:pPr>
              <w:pStyle w:val="NormalnyWeb"/>
              <w:shd w:val="clear" w:color="auto" w:fill="FFFFFF"/>
              <w:spacing w:before="0" w:beforeAutospacing="0" w:after="150" w:afterAutospacing="0"/>
              <w:jc w:val="both"/>
              <w:rPr>
                <w:rFonts w:ascii="Arial" w:hAnsi="Arial" w:cs="Arial"/>
                <w:color w:val="1C1C1C"/>
                <w:sz w:val="20"/>
                <w:szCs w:val="20"/>
              </w:rPr>
            </w:pPr>
            <w:r w:rsidRPr="003C2FDA">
              <w:rPr>
                <w:rFonts w:ascii="Arial" w:hAnsi="Arial" w:cs="Arial"/>
                <w:color w:val="FF0000"/>
                <w:sz w:val="20"/>
                <w:szCs w:val="20"/>
              </w:rPr>
              <w:t xml:space="preserve">Instrukcja postępowania z przedłużaczem: </w:t>
            </w:r>
            <w:r w:rsidRPr="003C2FDA">
              <w:rPr>
                <w:rFonts w:ascii="Arial" w:hAnsi="Arial" w:cs="Arial"/>
                <w:color w:val="1C1C1C"/>
                <w:sz w:val="20"/>
                <w:szCs w:val="20"/>
              </w:rPr>
              <w:t xml:space="preserve">UWAGA! Należy przestrzegać poniższej instrukcji i zaleceń w niej zawartych, gdyż jej nie przestrzeganie może doprowadzić do pożaru lub śmierci w wyniku porażenia prądem. </w:t>
            </w:r>
          </w:p>
          <w:p w:rsidR="003C2FDA" w:rsidRDefault="003C2FDA" w:rsidP="0049326A">
            <w:pPr>
              <w:pStyle w:val="NormalnyWeb"/>
              <w:shd w:val="clear" w:color="auto" w:fill="FFFFFF"/>
              <w:spacing w:before="0" w:beforeAutospacing="0" w:after="150" w:afterAutospacing="0"/>
              <w:jc w:val="both"/>
              <w:rPr>
                <w:rFonts w:ascii="Arial" w:hAnsi="Arial" w:cs="Arial"/>
                <w:color w:val="1C1C1C"/>
                <w:sz w:val="20"/>
                <w:szCs w:val="20"/>
              </w:rPr>
            </w:pPr>
            <w:r w:rsidRPr="003C2FDA">
              <w:rPr>
                <w:rFonts w:ascii="Arial" w:hAnsi="Arial" w:cs="Arial"/>
                <w:color w:val="FF0000"/>
                <w:sz w:val="20"/>
                <w:szCs w:val="20"/>
              </w:rPr>
              <w:t>Czynności przed użyciem przedłużacza:</w:t>
            </w:r>
            <w:r w:rsidRPr="003C2FDA">
              <w:rPr>
                <w:rFonts w:ascii="Arial" w:hAnsi="Arial" w:cs="Arial"/>
                <w:color w:val="1C1C1C"/>
                <w:sz w:val="20"/>
                <w:szCs w:val="20"/>
              </w:rPr>
              <w:t xml:space="preserve"> Przedłużacz z informacją „ do użytku domowego „ należy rozumieć jako przeznaczony tylko do użytku domowego i należy go użytkować tylko w pomieszczeniach suchych.• Przed każdym użyciem należy sprawdzić stan techniczny przedłużacza– nie należy używać produktów uszkodzonych.• Koniecznie sprawdzić maksymalny pobór prądu w watach (W) urządzenia które chcemy podłączyć do przedłużacza.• Moc podłączonego urządzenia musi być dopasowana do mocy określonej na przedłużaczu.• Należy sprawdzić jakie jest maksymalne dopuszczalne obciążenie przedłużacza.• Dane techniczne - prąd znamionowy i maksymalne dopuszczalne obciążenie znajdują się na kółku znamionowym, które jest umieszczone na przewodzie przedłużacza.• Do przedłużacza nie należy podłączać urządzeń których sumaryczna moc pobierana jest wyższa niż dopuszczalne obciążenie przedłużacza.• Przed podłączeniem przedłużacza należy upewnić </w:t>
            </w:r>
            <w:r w:rsidR="00EF7495" w:rsidRPr="003C2FDA">
              <w:rPr>
                <w:rFonts w:ascii="Arial" w:hAnsi="Arial" w:cs="Arial"/>
                <w:color w:val="1C1C1C"/>
                <w:sz w:val="20"/>
                <w:szCs w:val="20"/>
              </w:rPr>
              <w:t>się, że</w:t>
            </w:r>
            <w:r w:rsidRPr="003C2FDA">
              <w:rPr>
                <w:rFonts w:ascii="Arial" w:hAnsi="Arial" w:cs="Arial"/>
                <w:color w:val="1C1C1C"/>
                <w:sz w:val="20"/>
                <w:szCs w:val="20"/>
              </w:rPr>
              <w:t xml:space="preserve"> podłączone urządzenie nie jest włączone.• Nie wolno usuwać ani nie ingerować w bolce uziemiające przedłużacza.• Zabrania się samodzielnych prób otwierania, modyfikacji i przeróbek przedłużacza.• Do urządzeń wymagających uziemienia należy stosować tylko przedłużacze z uziemieniem.</w:t>
            </w:r>
          </w:p>
          <w:p w:rsidR="003C2FDA" w:rsidRPr="003C2FDA" w:rsidRDefault="003C2FDA" w:rsidP="0049326A">
            <w:pPr>
              <w:pStyle w:val="NormalnyWeb"/>
              <w:shd w:val="clear" w:color="auto" w:fill="FFFFFF"/>
              <w:spacing w:before="0" w:beforeAutospacing="0" w:after="150" w:afterAutospacing="0"/>
              <w:jc w:val="both"/>
              <w:rPr>
                <w:rFonts w:ascii="Arial" w:hAnsi="Arial" w:cs="Arial"/>
                <w:color w:val="1C1C1C"/>
                <w:sz w:val="20"/>
                <w:szCs w:val="20"/>
              </w:rPr>
            </w:pPr>
            <w:r w:rsidRPr="003C2FDA">
              <w:rPr>
                <w:rFonts w:ascii="Arial" w:hAnsi="Arial" w:cs="Arial"/>
                <w:color w:val="FF0000"/>
                <w:sz w:val="20"/>
                <w:szCs w:val="20"/>
              </w:rPr>
              <w:t xml:space="preserve">Czynności których należy przestrzegać podczas użytkowania przedłużacza: </w:t>
            </w:r>
            <w:r w:rsidRPr="003C2FDA">
              <w:rPr>
                <w:rFonts w:ascii="Arial" w:hAnsi="Arial" w:cs="Arial"/>
                <w:color w:val="1C1C1C"/>
                <w:sz w:val="20"/>
                <w:szCs w:val="20"/>
              </w:rPr>
              <w:t>• Przedłużacz należy użytkować w pomieszczeniach suchych z dala od naczyń z wodą.• Przedłużacz chwytać suchą dłonią.• Nie należy łączyć przedłużaczy.• Nie używać przedłużacza jako zabawki.• Chronić dzieci i zwierzęta domowe przed kontaktem z przedłużaczem.• Należy unikać przegrzewania przedłużacza, przedłużacz powinien być całkowicie rozwinięty.• Nie przykrywać przedłużacza żadnymi przedmiotami.• Nie należy : przejeżdżać po przedłużaczu, umieszczać jakichkolwiek przedmiotów na przedłużaczu.• Nie deptać przedłużacza, rzucać przedłużaczem by go nie narażać na uszkodzenia.</w:t>
            </w:r>
          </w:p>
          <w:p w:rsidR="003C2FDA" w:rsidRPr="003C2FDA" w:rsidRDefault="003C2FDA" w:rsidP="0049326A">
            <w:pPr>
              <w:pStyle w:val="NormalnyWeb"/>
              <w:shd w:val="clear" w:color="auto" w:fill="FFFFFF"/>
              <w:spacing w:before="0" w:beforeAutospacing="0" w:after="150" w:afterAutospacing="0"/>
              <w:jc w:val="both"/>
              <w:rPr>
                <w:rFonts w:ascii="Arial" w:hAnsi="Arial" w:cs="Arial"/>
                <w:color w:val="1C1C1C"/>
                <w:sz w:val="20"/>
                <w:szCs w:val="20"/>
              </w:rPr>
            </w:pPr>
            <w:r w:rsidRPr="003C2FDA">
              <w:rPr>
                <w:rFonts w:ascii="Arial" w:hAnsi="Arial" w:cs="Arial"/>
                <w:color w:val="FF0000"/>
                <w:sz w:val="20"/>
                <w:szCs w:val="20"/>
              </w:rPr>
              <w:t>Czynności po użyciu przedłużacza:</w:t>
            </w:r>
            <w:r w:rsidRPr="003C2FDA">
              <w:rPr>
                <w:rFonts w:ascii="Arial" w:hAnsi="Arial" w:cs="Arial"/>
                <w:color w:val="1C1C1C"/>
                <w:sz w:val="20"/>
                <w:szCs w:val="20"/>
              </w:rPr>
              <w:t>• Po zakończonej pracy z przedłużaczem należy przedłużacz odłączyć z gniazda chwytając za wtyczkę a nie za przewód• Przedłużacz należy przechowywać w suchym miejscu</w:t>
            </w:r>
          </w:p>
          <w:p w:rsidR="003C2FDA" w:rsidRDefault="003C2FDA" w:rsidP="0049326A">
            <w:pPr>
              <w:pStyle w:val="NormalnyWeb"/>
              <w:shd w:val="clear" w:color="auto" w:fill="FFFFFF"/>
              <w:spacing w:before="0" w:beforeAutospacing="0" w:after="150" w:afterAutospacing="0"/>
              <w:jc w:val="both"/>
              <w:rPr>
                <w:rFonts w:ascii="Arial" w:hAnsi="Arial" w:cs="Arial"/>
                <w:color w:val="1C1C1C"/>
                <w:sz w:val="16"/>
                <w:szCs w:val="16"/>
              </w:rPr>
            </w:pPr>
            <w:r w:rsidRPr="003C2FDA">
              <w:rPr>
                <w:rFonts w:ascii="Arial" w:hAnsi="Arial" w:cs="Arial"/>
                <w:color w:val="FF0000"/>
                <w:sz w:val="20"/>
                <w:szCs w:val="20"/>
              </w:rPr>
              <w:t>UWAGA: Uszkodzenia mechaniczne nie podlegają warunkom gwarancji</w:t>
            </w:r>
          </w:p>
        </w:tc>
        <w:tc>
          <w:tcPr>
            <w:tcW w:w="6997" w:type="dxa"/>
          </w:tcPr>
          <w:p w:rsidR="00CC255E" w:rsidRDefault="00CC255E" w:rsidP="007C4C56">
            <w:pPr>
              <w:pStyle w:val="NormalnyWeb"/>
              <w:spacing w:before="0" w:beforeAutospacing="0" w:after="150" w:afterAutospacing="0"/>
              <w:jc w:val="center"/>
              <w:rPr>
                <w:rFonts w:ascii="Arial" w:hAnsi="Arial" w:cs="Arial"/>
                <w:color w:val="1C1C1C"/>
              </w:rPr>
            </w:pPr>
          </w:p>
          <w:p w:rsidR="003C2FDA" w:rsidRDefault="007C4C56" w:rsidP="007C4C56">
            <w:pPr>
              <w:pStyle w:val="NormalnyWeb"/>
              <w:spacing w:before="0" w:beforeAutospacing="0" w:after="150" w:afterAutospacing="0"/>
              <w:jc w:val="center"/>
              <w:rPr>
                <w:rFonts w:ascii="Arial" w:hAnsi="Arial" w:cs="Arial"/>
                <w:color w:val="1C1C1C"/>
              </w:rPr>
            </w:pPr>
            <w:r>
              <w:rPr>
                <w:rFonts w:ascii="Arial" w:hAnsi="Arial" w:cs="Arial"/>
                <w:color w:val="1C1C1C"/>
              </w:rPr>
              <w:t>PRZEDŁUŻA</w:t>
            </w:r>
            <w:r w:rsidR="00422B28">
              <w:rPr>
                <w:rFonts w:ascii="Arial" w:hAnsi="Arial" w:cs="Arial"/>
                <w:color w:val="1C1C1C"/>
              </w:rPr>
              <w:t xml:space="preserve">CZ </w:t>
            </w:r>
          </w:p>
          <w:p w:rsidR="00CC255E" w:rsidRDefault="00CC255E" w:rsidP="007C4C56">
            <w:pPr>
              <w:pStyle w:val="NormalnyWeb"/>
              <w:spacing w:before="0" w:beforeAutospacing="0" w:after="150" w:afterAutospacing="0"/>
              <w:jc w:val="center"/>
              <w:rPr>
                <w:rFonts w:ascii="Arial" w:hAnsi="Arial" w:cs="Arial"/>
                <w:color w:val="1C1C1C"/>
              </w:rPr>
            </w:pPr>
          </w:p>
          <w:p w:rsidR="007C4C56" w:rsidRPr="00594245" w:rsidRDefault="00422B28" w:rsidP="00CC255E">
            <w:pPr>
              <w:pStyle w:val="NormalnyWeb"/>
              <w:numPr>
                <w:ilvl w:val="0"/>
                <w:numId w:val="1"/>
              </w:numPr>
              <w:spacing w:before="0" w:beforeAutospacing="0" w:after="150" w:afterAutospacing="0"/>
              <w:jc w:val="both"/>
              <w:rPr>
                <w:rFonts w:ascii="Arial" w:hAnsi="Arial" w:cs="Arial"/>
                <w:color w:val="1C1C1C"/>
                <w:sz w:val="20"/>
                <w:szCs w:val="20"/>
              </w:rPr>
            </w:pPr>
            <w:r w:rsidRPr="00EF7495">
              <w:rPr>
                <w:rFonts w:ascii="Arial" w:hAnsi="Arial" w:cs="Arial"/>
                <w:color w:val="1C1C1C"/>
                <w:sz w:val="20"/>
                <w:szCs w:val="20"/>
              </w:rPr>
              <w:t>Przewód</w:t>
            </w:r>
            <w:r w:rsidR="00285277" w:rsidRPr="00EF7495">
              <w:rPr>
                <w:rFonts w:ascii="Arial" w:hAnsi="Arial" w:cs="Arial"/>
                <w:color w:val="1C1C1C"/>
                <w:sz w:val="20"/>
                <w:szCs w:val="20"/>
              </w:rPr>
              <w:t xml:space="preserve"> O</w:t>
            </w:r>
            <w:r w:rsidRPr="00EF7495">
              <w:rPr>
                <w:rFonts w:ascii="Arial" w:hAnsi="Arial" w:cs="Arial"/>
                <w:color w:val="1C1C1C"/>
                <w:sz w:val="20"/>
                <w:szCs w:val="20"/>
              </w:rPr>
              <w:t xml:space="preserve">MY </w:t>
            </w:r>
            <w:r w:rsidR="00594245">
              <w:rPr>
                <w:rFonts w:ascii="Arial" w:hAnsi="Arial" w:cs="Arial"/>
                <w:color w:val="1C1C1C"/>
                <w:sz w:val="20"/>
                <w:szCs w:val="20"/>
              </w:rPr>
              <w:t xml:space="preserve"> </w:t>
            </w:r>
            <w:r w:rsidR="00594245" w:rsidRPr="00EF7495">
              <w:rPr>
                <w:rFonts w:ascii="Arial" w:hAnsi="Arial" w:cs="Arial"/>
                <w:color w:val="1C1C1C"/>
                <w:sz w:val="20"/>
                <w:szCs w:val="20"/>
              </w:rPr>
              <w:t>10A</w:t>
            </w:r>
            <w:r w:rsidR="009D342A">
              <w:rPr>
                <w:rFonts w:ascii="Arial" w:hAnsi="Arial" w:cs="Arial"/>
                <w:color w:val="1C1C1C"/>
                <w:sz w:val="20"/>
                <w:szCs w:val="20"/>
              </w:rPr>
              <w:t xml:space="preserve"> </w:t>
            </w:r>
            <w:r w:rsidR="00594245" w:rsidRPr="00EF7495">
              <w:rPr>
                <w:rFonts w:ascii="Arial" w:hAnsi="Arial" w:cs="Arial"/>
                <w:color w:val="1C1C1C"/>
                <w:sz w:val="20"/>
                <w:szCs w:val="20"/>
              </w:rPr>
              <w:t>/</w:t>
            </w:r>
            <w:r w:rsidR="009D342A">
              <w:rPr>
                <w:rFonts w:ascii="Arial" w:hAnsi="Arial" w:cs="Arial"/>
                <w:color w:val="1C1C1C"/>
                <w:sz w:val="20"/>
                <w:szCs w:val="20"/>
              </w:rPr>
              <w:t xml:space="preserve"> </w:t>
            </w:r>
            <w:r w:rsidR="00594245" w:rsidRPr="00EF7495">
              <w:rPr>
                <w:rFonts w:ascii="Arial" w:hAnsi="Arial" w:cs="Arial"/>
                <w:color w:val="1C1C1C"/>
                <w:sz w:val="20"/>
                <w:szCs w:val="20"/>
              </w:rPr>
              <w:t>230</w:t>
            </w:r>
            <w:r w:rsidR="009D342A">
              <w:rPr>
                <w:rFonts w:ascii="Arial" w:hAnsi="Arial" w:cs="Arial"/>
                <w:color w:val="1C1C1C"/>
                <w:sz w:val="20"/>
                <w:szCs w:val="20"/>
              </w:rPr>
              <w:t xml:space="preserve"> </w:t>
            </w:r>
            <w:r w:rsidR="00594245" w:rsidRPr="00EF7495">
              <w:rPr>
                <w:rFonts w:ascii="Arial" w:hAnsi="Arial" w:cs="Arial"/>
                <w:color w:val="1C1C1C"/>
                <w:sz w:val="20"/>
                <w:szCs w:val="20"/>
              </w:rPr>
              <w:t>V</w:t>
            </w:r>
            <w:r w:rsidR="00594245" w:rsidRPr="00EF7495">
              <w:rPr>
                <w:rFonts w:ascii="Calibri" w:hAnsi="Calibri" w:cs="Calibri"/>
                <w:color w:val="1C1C1C"/>
                <w:sz w:val="20"/>
                <w:szCs w:val="20"/>
              </w:rPr>
              <w:t xml:space="preserve"> </w:t>
            </w:r>
            <w:r w:rsidR="00594245" w:rsidRPr="00EF7495">
              <w:rPr>
                <w:rFonts w:ascii="Arial" w:hAnsi="Arial" w:cs="Arial"/>
                <w:color w:val="1C1C1C"/>
                <w:sz w:val="20"/>
                <w:szCs w:val="20"/>
              </w:rPr>
              <w:t xml:space="preserve"> P</w:t>
            </w:r>
            <w:r w:rsidR="009D342A">
              <w:rPr>
                <w:rFonts w:ascii="Arial" w:hAnsi="Arial" w:cs="Arial"/>
                <w:color w:val="1C1C1C"/>
                <w:sz w:val="20"/>
                <w:szCs w:val="20"/>
              </w:rPr>
              <w:t xml:space="preserve"> </w:t>
            </w:r>
            <w:r w:rsidR="00594245" w:rsidRPr="00EF7495">
              <w:rPr>
                <w:rFonts w:ascii="Calibri" w:hAnsi="Calibri" w:cs="Calibri"/>
                <w:color w:val="1C1C1C"/>
                <w:sz w:val="20"/>
                <w:szCs w:val="20"/>
              </w:rPr>
              <w:t>≈</w:t>
            </w:r>
            <w:r w:rsidR="009D342A">
              <w:rPr>
                <w:rFonts w:ascii="Calibri" w:hAnsi="Calibri" w:cs="Calibri"/>
                <w:color w:val="1C1C1C"/>
                <w:sz w:val="20"/>
                <w:szCs w:val="20"/>
              </w:rPr>
              <w:t xml:space="preserve"> </w:t>
            </w:r>
            <w:r w:rsidR="00594245" w:rsidRPr="00EF7495">
              <w:rPr>
                <w:rFonts w:ascii="Arial" w:hAnsi="Arial" w:cs="Arial"/>
                <w:color w:val="1C1C1C"/>
                <w:sz w:val="20"/>
                <w:szCs w:val="20"/>
              </w:rPr>
              <w:t>2300W MAX</w:t>
            </w:r>
          </w:p>
          <w:p w:rsidR="00594245" w:rsidRPr="00EF7495" w:rsidRDefault="00594245" w:rsidP="00CC255E">
            <w:pPr>
              <w:pStyle w:val="NormalnyWeb"/>
              <w:numPr>
                <w:ilvl w:val="0"/>
                <w:numId w:val="1"/>
              </w:numPr>
              <w:spacing w:before="0" w:beforeAutospacing="0" w:after="150" w:afterAutospacing="0"/>
              <w:jc w:val="both"/>
              <w:rPr>
                <w:rFonts w:ascii="Arial" w:hAnsi="Arial" w:cs="Arial"/>
                <w:color w:val="1C1C1C"/>
                <w:sz w:val="20"/>
                <w:szCs w:val="20"/>
              </w:rPr>
            </w:pPr>
            <w:r w:rsidRPr="00EF7495">
              <w:rPr>
                <w:rFonts w:ascii="Arial" w:hAnsi="Arial" w:cs="Arial"/>
                <w:color w:val="1C1C1C"/>
                <w:sz w:val="20"/>
                <w:szCs w:val="20"/>
              </w:rPr>
              <w:t xml:space="preserve">Przewód OMY </w:t>
            </w:r>
            <w:r>
              <w:rPr>
                <w:rFonts w:ascii="Arial" w:hAnsi="Arial" w:cs="Arial"/>
                <w:color w:val="1C1C1C"/>
                <w:sz w:val="20"/>
                <w:szCs w:val="20"/>
              </w:rPr>
              <w:t xml:space="preserve"> 16</w:t>
            </w:r>
            <w:r w:rsidRPr="00EF7495">
              <w:rPr>
                <w:rFonts w:ascii="Arial" w:hAnsi="Arial" w:cs="Arial"/>
                <w:color w:val="1C1C1C"/>
                <w:sz w:val="20"/>
                <w:szCs w:val="20"/>
              </w:rPr>
              <w:t>A</w:t>
            </w:r>
            <w:r w:rsidR="009D342A">
              <w:rPr>
                <w:rFonts w:ascii="Arial" w:hAnsi="Arial" w:cs="Arial"/>
                <w:color w:val="1C1C1C"/>
                <w:sz w:val="20"/>
                <w:szCs w:val="20"/>
              </w:rPr>
              <w:t xml:space="preserve"> </w:t>
            </w:r>
            <w:r w:rsidRPr="00EF7495">
              <w:rPr>
                <w:rFonts w:ascii="Arial" w:hAnsi="Arial" w:cs="Arial"/>
                <w:color w:val="1C1C1C"/>
                <w:sz w:val="20"/>
                <w:szCs w:val="20"/>
              </w:rPr>
              <w:t>/</w:t>
            </w:r>
            <w:r w:rsidR="009D342A">
              <w:rPr>
                <w:rFonts w:ascii="Arial" w:hAnsi="Arial" w:cs="Arial"/>
                <w:color w:val="1C1C1C"/>
                <w:sz w:val="20"/>
                <w:szCs w:val="20"/>
              </w:rPr>
              <w:t xml:space="preserve"> </w:t>
            </w:r>
            <w:r w:rsidRPr="00EF7495">
              <w:rPr>
                <w:rFonts w:ascii="Arial" w:hAnsi="Arial" w:cs="Arial"/>
                <w:color w:val="1C1C1C"/>
                <w:sz w:val="20"/>
                <w:szCs w:val="20"/>
              </w:rPr>
              <w:t>230</w:t>
            </w:r>
            <w:r w:rsidR="009D342A">
              <w:rPr>
                <w:rFonts w:ascii="Arial" w:hAnsi="Arial" w:cs="Arial"/>
                <w:color w:val="1C1C1C"/>
                <w:sz w:val="20"/>
                <w:szCs w:val="20"/>
              </w:rPr>
              <w:t xml:space="preserve"> </w:t>
            </w:r>
            <w:r w:rsidRPr="00EF7495">
              <w:rPr>
                <w:rFonts w:ascii="Arial" w:hAnsi="Arial" w:cs="Arial"/>
                <w:color w:val="1C1C1C"/>
                <w:sz w:val="20"/>
                <w:szCs w:val="20"/>
              </w:rPr>
              <w:t>V</w:t>
            </w:r>
            <w:r w:rsidRPr="00CC255E">
              <w:rPr>
                <w:rFonts w:ascii="Arial" w:hAnsi="Arial" w:cs="Arial"/>
                <w:color w:val="1C1C1C"/>
                <w:sz w:val="20"/>
                <w:szCs w:val="20"/>
              </w:rPr>
              <w:t xml:space="preserve"> </w:t>
            </w:r>
            <w:r w:rsidRPr="00EF7495">
              <w:rPr>
                <w:rFonts w:ascii="Arial" w:hAnsi="Arial" w:cs="Arial"/>
                <w:color w:val="1C1C1C"/>
                <w:sz w:val="20"/>
                <w:szCs w:val="20"/>
              </w:rPr>
              <w:t xml:space="preserve"> P</w:t>
            </w:r>
            <w:r w:rsidR="009D342A">
              <w:rPr>
                <w:rFonts w:ascii="Arial" w:hAnsi="Arial" w:cs="Arial"/>
                <w:color w:val="1C1C1C"/>
                <w:sz w:val="20"/>
                <w:szCs w:val="20"/>
              </w:rPr>
              <w:t xml:space="preserve"> </w:t>
            </w:r>
            <w:r w:rsidRPr="00CC255E">
              <w:rPr>
                <w:rFonts w:ascii="Arial" w:hAnsi="Arial" w:cs="Arial"/>
                <w:color w:val="1C1C1C"/>
                <w:sz w:val="20"/>
                <w:szCs w:val="20"/>
              </w:rPr>
              <w:t>≈</w:t>
            </w:r>
            <w:r w:rsidR="009D342A" w:rsidRPr="00CC255E">
              <w:rPr>
                <w:rFonts w:ascii="Arial" w:hAnsi="Arial" w:cs="Arial"/>
                <w:color w:val="1C1C1C"/>
                <w:sz w:val="20"/>
                <w:szCs w:val="20"/>
              </w:rPr>
              <w:t xml:space="preserve"> </w:t>
            </w:r>
            <w:r>
              <w:rPr>
                <w:rFonts w:ascii="Arial" w:hAnsi="Arial" w:cs="Arial"/>
                <w:color w:val="1C1C1C"/>
                <w:sz w:val="20"/>
                <w:szCs w:val="20"/>
              </w:rPr>
              <w:t>3680</w:t>
            </w:r>
            <w:r w:rsidRPr="00EF7495">
              <w:rPr>
                <w:rFonts w:ascii="Arial" w:hAnsi="Arial" w:cs="Arial"/>
                <w:color w:val="1C1C1C"/>
                <w:sz w:val="20"/>
                <w:szCs w:val="20"/>
              </w:rPr>
              <w:t>W MAX</w:t>
            </w:r>
          </w:p>
          <w:p w:rsidR="00285277" w:rsidRPr="00CC255E" w:rsidRDefault="00285277" w:rsidP="00CC255E">
            <w:pPr>
              <w:pStyle w:val="NormalnyWeb"/>
              <w:numPr>
                <w:ilvl w:val="0"/>
                <w:numId w:val="1"/>
              </w:numPr>
              <w:spacing w:before="0" w:beforeAutospacing="0" w:after="150" w:afterAutospacing="0"/>
              <w:jc w:val="both"/>
              <w:rPr>
                <w:rFonts w:ascii="Arial" w:hAnsi="Arial" w:cs="Arial"/>
                <w:color w:val="1C1C1C"/>
                <w:sz w:val="20"/>
                <w:szCs w:val="20"/>
              </w:rPr>
            </w:pPr>
            <w:r w:rsidRPr="00EF7495">
              <w:rPr>
                <w:rFonts w:ascii="Arial" w:hAnsi="Arial" w:cs="Arial"/>
                <w:color w:val="1C1C1C"/>
                <w:sz w:val="20"/>
                <w:szCs w:val="20"/>
              </w:rPr>
              <w:t>Klasa ochrony od porażeń</w:t>
            </w:r>
            <w:r w:rsidR="00EF7495">
              <w:rPr>
                <w:rFonts w:ascii="Arial" w:hAnsi="Arial" w:cs="Arial"/>
                <w:color w:val="1C1C1C"/>
                <w:sz w:val="20"/>
                <w:szCs w:val="20"/>
              </w:rPr>
              <w:t>:</w:t>
            </w:r>
            <w:r w:rsidRPr="00EF7495">
              <w:rPr>
                <w:rFonts w:ascii="Arial" w:hAnsi="Arial" w:cs="Arial"/>
                <w:color w:val="1C1C1C"/>
                <w:sz w:val="20"/>
                <w:szCs w:val="20"/>
              </w:rPr>
              <w:t xml:space="preserve"> I</w:t>
            </w:r>
          </w:p>
          <w:p w:rsidR="00BD30FF" w:rsidRPr="00CC255E" w:rsidRDefault="00BD30FF" w:rsidP="00CC255E">
            <w:pPr>
              <w:pStyle w:val="NormalnyWeb"/>
              <w:numPr>
                <w:ilvl w:val="0"/>
                <w:numId w:val="1"/>
              </w:numPr>
              <w:spacing w:before="0" w:beforeAutospacing="0" w:after="150" w:afterAutospacing="0"/>
              <w:jc w:val="both"/>
              <w:rPr>
                <w:rFonts w:ascii="Arial" w:hAnsi="Arial" w:cs="Arial"/>
                <w:color w:val="1C1C1C"/>
                <w:sz w:val="20"/>
                <w:szCs w:val="20"/>
              </w:rPr>
            </w:pPr>
            <w:r>
              <w:rPr>
                <w:rFonts w:ascii="Arial" w:hAnsi="Arial" w:cs="Arial"/>
                <w:color w:val="1C1C1C"/>
                <w:sz w:val="20"/>
                <w:szCs w:val="20"/>
              </w:rPr>
              <w:t>Tylko do użytku domowego i podobnego</w:t>
            </w:r>
          </w:p>
          <w:p w:rsidR="009D342A" w:rsidRDefault="009D342A" w:rsidP="00CC255E">
            <w:pPr>
              <w:pStyle w:val="NormalnyWeb"/>
              <w:numPr>
                <w:ilvl w:val="0"/>
                <w:numId w:val="1"/>
              </w:numPr>
              <w:spacing w:before="0" w:beforeAutospacing="0" w:after="150" w:afterAutospacing="0"/>
              <w:jc w:val="both"/>
              <w:rPr>
                <w:rFonts w:ascii="Arial" w:hAnsi="Arial" w:cs="Arial"/>
                <w:color w:val="1C1C1C"/>
                <w:sz w:val="20"/>
                <w:szCs w:val="20"/>
              </w:rPr>
            </w:pPr>
            <w:r>
              <w:rPr>
                <w:rFonts w:ascii="Arial" w:hAnsi="Arial" w:cs="Arial"/>
                <w:color w:val="1C1C1C"/>
                <w:sz w:val="20"/>
                <w:szCs w:val="20"/>
              </w:rPr>
              <w:t>Nie łączyć przedłużaczy</w:t>
            </w:r>
          </w:p>
          <w:p w:rsidR="003047A8" w:rsidRPr="003047A8" w:rsidRDefault="003047A8" w:rsidP="003047A8">
            <w:pPr>
              <w:pStyle w:val="NormalnyWeb"/>
              <w:numPr>
                <w:ilvl w:val="0"/>
                <w:numId w:val="1"/>
              </w:numPr>
              <w:spacing w:before="0" w:beforeAutospacing="0" w:after="150" w:afterAutospacing="0"/>
              <w:jc w:val="both"/>
              <w:rPr>
                <w:rFonts w:ascii="Arial" w:hAnsi="Arial" w:cs="Arial"/>
                <w:color w:val="1C1C1C"/>
                <w:sz w:val="16"/>
                <w:szCs w:val="16"/>
              </w:rPr>
            </w:pPr>
            <w:r>
              <w:rPr>
                <w:rFonts w:ascii="Arial" w:hAnsi="Arial" w:cs="Arial"/>
                <w:color w:val="1C1C1C"/>
                <w:sz w:val="20"/>
                <w:szCs w:val="20"/>
              </w:rPr>
              <w:t>Nie przykrywać przedłużaczy</w:t>
            </w:r>
          </w:p>
          <w:p w:rsidR="003047A8" w:rsidRPr="00CC255E" w:rsidRDefault="003047A8" w:rsidP="003047A8">
            <w:pPr>
              <w:pStyle w:val="NormalnyWeb"/>
              <w:spacing w:before="0" w:beforeAutospacing="0" w:after="150" w:afterAutospacing="0"/>
              <w:ind w:left="720"/>
              <w:jc w:val="both"/>
              <w:rPr>
                <w:rFonts w:ascii="Arial" w:hAnsi="Arial" w:cs="Arial"/>
                <w:color w:val="1C1C1C"/>
                <w:sz w:val="20"/>
                <w:szCs w:val="20"/>
              </w:rPr>
            </w:pPr>
          </w:p>
          <w:p w:rsidR="00BD30FF" w:rsidRDefault="00FB190E" w:rsidP="001D5771">
            <w:pPr>
              <w:pStyle w:val="NormalnyWeb"/>
              <w:spacing w:before="0" w:beforeAutospacing="0" w:after="150" w:afterAutospacing="0"/>
              <w:jc w:val="center"/>
              <w:rPr>
                <w:rFonts w:ascii="Arial" w:hAnsi="Arial" w:cs="Arial"/>
                <w:color w:val="1C1C1C"/>
                <w:sz w:val="20"/>
                <w:szCs w:val="20"/>
              </w:rPr>
            </w:pPr>
            <w:r w:rsidRPr="00FB190E">
              <w:rPr>
                <w:rFonts w:ascii="Arial" w:hAnsi="Arial" w:cs="Arial"/>
                <w:noProof/>
                <w:color w:val="1C1C1C"/>
                <w:sz w:val="20"/>
                <w:szCs w:val="20"/>
              </w:rPr>
              <w:drawing>
                <wp:inline distT="0" distB="0" distL="0" distR="0">
                  <wp:extent cx="2118995" cy="951549"/>
                  <wp:effectExtent l="0" t="0" r="0" b="127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25063" cy="954274"/>
                          </a:xfrm>
                          <a:prstGeom prst="rect">
                            <a:avLst/>
                          </a:prstGeom>
                          <a:noFill/>
                          <a:ln>
                            <a:noFill/>
                          </a:ln>
                        </pic:spPr>
                      </pic:pic>
                    </a:graphicData>
                  </a:graphic>
                </wp:inline>
              </w:drawing>
            </w:r>
          </w:p>
          <w:p w:rsidR="00BD30FF" w:rsidRDefault="00BD30FF" w:rsidP="001D5771">
            <w:pPr>
              <w:pStyle w:val="NormalnyWeb"/>
              <w:spacing w:before="0" w:beforeAutospacing="0" w:after="150" w:afterAutospacing="0"/>
              <w:ind w:left="720"/>
              <w:rPr>
                <w:rFonts w:ascii="Arial" w:hAnsi="Arial" w:cs="Arial"/>
                <w:color w:val="1C1C1C"/>
                <w:sz w:val="20"/>
                <w:szCs w:val="20"/>
              </w:rPr>
            </w:pPr>
          </w:p>
          <w:p w:rsidR="00BD30FF" w:rsidRDefault="00BD30FF" w:rsidP="00BD30FF">
            <w:pPr>
              <w:pStyle w:val="NormalnyWeb"/>
              <w:spacing w:before="0" w:beforeAutospacing="0" w:after="150" w:afterAutospacing="0"/>
              <w:ind w:left="720"/>
              <w:rPr>
                <w:rFonts w:ascii="Arial" w:hAnsi="Arial" w:cs="Arial"/>
                <w:color w:val="1C1C1C"/>
                <w:sz w:val="20"/>
                <w:szCs w:val="20"/>
              </w:rPr>
            </w:pPr>
          </w:p>
          <w:p w:rsidR="00BD30FF" w:rsidRDefault="00BD30FF" w:rsidP="00BD30FF">
            <w:pPr>
              <w:pStyle w:val="NormalnyWeb"/>
              <w:spacing w:before="0" w:beforeAutospacing="0" w:after="150" w:afterAutospacing="0"/>
              <w:ind w:left="720"/>
              <w:rPr>
                <w:rFonts w:ascii="Arial" w:hAnsi="Arial" w:cs="Arial"/>
                <w:color w:val="1C1C1C"/>
                <w:sz w:val="20"/>
                <w:szCs w:val="20"/>
              </w:rPr>
            </w:pPr>
          </w:p>
          <w:p w:rsidR="00CC255E" w:rsidRDefault="00CC255E" w:rsidP="00CC255E">
            <w:pPr>
              <w:pStyle w:val="NormalnyWeb"/>
              <w:spacing w:before="0" w:beforeAutospacing="0" w:after="150" w:afterAutospacing="0"/>
              <w:rPr>
                <w:rFonts w:ascii="Arial" w:hAnsi="Arial" w:cs="Arial"/>
                <w:color w:val="1C1C1C"/>
                <w:sz w:val="20"/>
                <w:szCs w:val="20"/>
              </w:rPr>
            </w:pPr>
          </w:p>
          <w:p w:rsidR="00CC255E" w:rsidRDefault="00CC255E" w:rsidP="00BD30FF">
            <w:pPr>
              <w:pStyle w:val="NormalnyWeb"/>
              <w:spacing w:before="0" w:beforeAutospacing="0" w:after="150" w:afterAutospacing="0"/>
              <w:ind w:left="720"/>
              <w:rPr>
                <w:rFonts w:ascii="Arial" w:hAnsi="Arial" w:cs="Arial"/>
                <w:color w:val="1C1C1C"/>
                <w:sz w:val="20"/>
                <w:szCs w:val="20"/>
              </w:rPr>
            </w:pPr>
          </w:p>
          <w:p w:rsidR="00BD30FF" w:rsidRPr="006950C2" w:rsidRDefault="006950C2" w:rsidP="006950C2">
            <w:pPr>
              <w:pStyle w:val="NormalnyWeb"/>
              <w:spacing w:before="0" w:beforeAutospacing="0" w:after="150" w:afterAutospacing="0"/>
              <w:rPr>
                <w:rFonts w:ascii="Arial" w:hAnsi="Arial" w:cs="Arial"/>
                <w:color w:val="1C1C1C"/>
                <w:sz w:val="20"/>
                <w:szCs w:val="20"/>
              </w:rPr>
            </w:pPr>
            <w:r w:rsidRPr="006950C2">
              <w:rPr>
                <w:rFonts w:ascii="Arial" w:hAnsi="Arial" w:cs="Arial"/>
                <w:noProof/>
                <w:color w:val="1C1C1C"/>
                <w:sz w:val="16"/>
                <w:szCs w:val="16"/>
              </w:rPr>
              <w:drawing>
                <wp:inline distT="0" distB="0" distL="0" distR="0">
                  <wp:extent cx="343599" cy="490855"/>
                  <wp:effectExtent l="0" t="0" r="0" b="4445"/>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7153" cy="495932"/>
                          </a:xfrm>
                          <a:prstGeom prst="rect">
                            <a:avLst/>
                          </a:prstGeom>
                          <a:noFill/>
                          <a:ln>
                            <a:noFill/>
                          </a:ln>
                        </pic:spPr>
                      </pic:pic>
                    </a:graphicData>
                  </a:graphic>
                </wp:inline>
              </w:drawing>
            </w:r>
            <w:r w:rsidR="00BD30FF" w:rsidRPr="00BD30FF">
              <w:rPr>
                <w:rFonts w:ascii="Arial" w:hAnsi="Arial" w:cs="Arial"/>
                <w:color w:val="1C1C1C"/>
                <w:sz w:val="16"/>
                <w:szCs w:val="16"/>
              </w:rPr>
              <w:t>UWAGA: nie wyrzucać z innymi odpadami; zużyty sprzęt zwrócić w oznaczonym punkcie; zbiórka tak oznaczonych odpadów przyczynia się do ochrony środowiska</w:t>
            </w:r>
          </w:p>
        </w:tc>
      </w:tr>
    </w:tbl>
    <w:p w:rsidR="0009616F" w:rsidRPr="003C2FDA" w:rsidRDefault="0009616F" w:rsidP="00837695">
      <w:pPr>
        <w:pStyle w:val="NormalnyWeb"/>
        <w:shd w:val="clear" w:color="auto" w:fill="FFFFFF"/>
        <w:spacing w:before="0" w:beforeAutospacing="0" w:after="150" w:afterAutospacing="0"/>
        <w:rPr>
          <w:sz w:val="16"/>
          <w:szCs w:val="16"/>
        </w:rPr>
      </w:pPr>
    </w:p>
    <w:sectPr w:rsidR="0009616F" w:rsidRPr="003C2FDA" w:rsidSect="003C2FDA">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7F28B8"/>
    <w:multiLevelType w:val="hybridMultilevel"/>
    <w:tmpl w:val="ECECB0F4"/>
    <w:lvl w:ilvl="0" w:tplc="3120E2D8">
      <w:start w:val="1"/>
      <w:numFmt w:val="bullet"/>
      <w:lvlText w:val=""/>
      <w:lvlJc w:val="left"/>
      <w:pPr>
        <w:ind w:left="720" w:hanging="360"/>
      </w:pPr>
      <w:rPr>
        <w:rFonts w:ascii="Symbol" w:hAnsi="Symbol" w:hint="default"/>
        <w:sz w:val="20"/>
        <w:szCs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6932666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FDA"/>
    <w:rsid w:val="0009616F"/>
    <w:rsid w:val="001D5771"/>
    <w:rsid w:val="00285277"/>
    <w:rsid w:val="003047A8"/>
    <w:rsid w:val="003C2FDA"/>
    <w:rsid w:val="00422B28"/>
    <w:rsid w:val="0049326A"/>
    <w:rsid w:val="00523B71"/>
    <w:rsid w:val="00594245"/>
    <w:rsid w:val="006950C2"/>
    <w:rsid w:val="007533F3"/>
    <w:rsid w:val="007C4C56"/>
    <w:rsid w:val="00837695"/>
    <w:rsid w:val="00851448"/>
    <w:rsid w:val="00957D7E"/>
    <w:rsid w:val="009D342A"/>
    <w:rsid w:val="00AE7938"/>
    <w:rsid w:val="00BD30FF"/>
    <w:rsid w:val="00CC255E"/>
    <w:rsid w:val="00D52610"/>
    <w:rsid w:val="00EF7495"/>
    <w:rsid w:val="00FB190E"/>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62EF7"/>
  <w15:chartTrackingRefBased/>
  <w15:docId w15:val="{FF24141A-BAB3-432C-8DE2-BC77AA56D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3C2FDA"/>
    <w:pPr>
      <w:spacing w:before="100" w:beforeAutospacing="1" w:after="100" w:afterAutospacing="1" w:line="240" w:lineRule="auto"/>
    </w:pPr>
    <w:rPr>
      <w:rFonts w:ascii="Times New Roman" w:eastAsia="Times New Roman" w:hAnsi="Times New Roman" w:cs="Times New Roman"/>
      <w:sz w:val="24"/>
      <w:szCs w:val="24"/>
    </w:rPr>
  </w:style>
  <w:style w:type="table" w:styleId="Tabela-Siatka">
    <w:name w:val="Table Grid"/>
    <w:basedOn w:val="Standardowy"/>
    <w:uiPriority w:val="39"/>
    <w:rsid w:val="003C2F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5931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F826E1-E048-40C1-8199-FF5995013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Pages>
  <Words>387</Words>
  <Characters>2323</Characters>
  <Application>Microsoft Office Word</Application>
  <DocSecurity>0</DocSecurity>
  <Lines>19</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Jarosław Rudaś</dc:creator>
  <cp:keywords/>
  <dc:description/>
  <cp:lastModifiedBy>PC-DESK-005</cp:lastModifiedBy>
  <cp:revision>5</cp:revision>
  <dcterms:created xsi:type="dcterms:W3CDTF">2023-03-21T14:35:00Z</dcterms:created>
  <dcterms:modified xsi:type="dcterms:W3CDTF">2023-03-28T07:19:00Z</dcterms:modified>
</cp:coreProperties>
</file>